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95" w:rsidRDefault="00437B84" w:rsidP="00512E38">
      <w:pPr>
        <w:pStyle w:val="Heading2"/>
      </w:pPr>
      <w:bookmarkStart w:id="0" w:name="_GoBack"/>
      <w:bookmarkEnd w:id="0"/>
      <w:r>
        <w:t>Summary of Ruling</w:t>
      </w:r>
      <w:r w:rsidR="00512E38">
        <w:t xml:space="preserve"> </w:t>
      </w:r>
    </w:p>
    <w:p w:rsidR="00A9599A" w:rsidRPr="00167E86" w:rsidRDefault="00A9599A" w:rsidP="00167E86">
      <w:pPr>
        <w:pStyle w:val="NoSpacing"/>
        <w:rPr>
          <w:sz w:val="24"/>
          <w:szCs w:val="24"/>
        </w:rPr>
      </w:pPr>
      <w:r w:rsidRPr="00A9599A">
        <w:rPr>
          <w:sz w:val="24"/>
          <w:szCs w:val="24"/>
        </w:rPr>
        <w:t xml:space="preserve">On September 3, 2020, the Washington State Supreme Court issued an opinion in </w:t>
      </w:r>
      <w:r w:rsidRPr="00A9599A">
        <w:rPr>
          <w:i/>
          <w:sz w:val="24"/>
          <w:szCs w:val="24"/>
        </w:rPr>
        <w:t>In re Dependency of Z.J.G. and M.E.J.G.</w:t>
      </w:r>
      <w:r w:rsidRPr="00A9599A">
        <w:rPr>
          <w:sz w:val="24"/>
          <w:szCs w:val="24"/>
        </w:rPr>
        <w:t xml:space="preserve"> holding that a court has a “reason to know” that a child is or may be an Indian Child when a participant in the proceeding indicates that the child has tribal heritage.  A link to the opinion is here </w:t>
      </w:r>
      <w:hyperlink r:id="rId8" w:history="1">
        <w:r w:rsidRPr="00A9599A">
          <w:rPr>
            <w:rStyle w:val="Hyperlink"/>
            <w:szCs w:val="24"/>
          </w:rPr>
          <w:t>http://www.courts.wa.gov/opinions/pdf/980039.pdf</w:t>
        </w:r>
      </w:hyperlink>
      <w:r w:rsidRPr="00A9599A">
        <w:rPr>
          <w:sz w:val="24"/>
          <w:szCs w:val="24"/>
        </w:rPr>
        <w:t xml:space="preserve">.  This change in when a court has a “reason to know” a child is Indian will require DCYF to make changes to its practice and policy.  </w:t>
      </w:r>
      <w:r w:rsidR="00167E86">
        <w:rPr>
          <w:sz w:val="24"/>
          <w:szCs w:val="24"/>
        </w:rPr>
        <w:br/>
      </w:r>
    </w:p>
    <w:p w:rsidR="00167E86" w:rsidRDefault="00A9599A" w:rsidP="00A9599A">
      <w:pPr>
        <w:pStyle w:val="Body"/>
        <w:rPr>
          <w:szCs w:val="24"/>
        </w:rPr>
      </w:pPr>
      <w:r w:rsidRPr="00A9599A">
        <w:rPr>
          <w:rFonts w:cstheme="minorHAnsi"/>
          <w:szCs w:val="24"/>
        </w:rPr>
        <w:t>The Court’s opinion expands the “reason to know” standard that triggers</w:t>
      </w:r>
      <w:r w:rsidR="00F41160">
        <w:rPr>
          <w:rFonts w:cstheme="minorHAnsi"/>
          <w:szCs w:val="24"/>
        </w:rPr>
        <w:t xml:space="preserve"> the</w:t>
      </w:r>
      <w:r w:rsidRPr="00A9599A">
        <w:rPr>
          <w:rFonts w:cstheme="minorHAnsi"/>
          <w:szCs w:val="24"/>
        </w:rPr>
        <w:t xml:space="preserve"> </w:t>
      </w:r>
      <w:r w:rsidR="00F41160">
        <w:rPr>
          <w:rFonts w:cstheme="minorHAnsi"/>
          <w:szCs w:val="24"/>
        </w:rPr>
        <w:t>Indian Child Welfare Act (</w:t>
      </w:r>
      <w:r w:rsidRPr="00A9599A">
        <w:rPr>
          <w:rFonts w:cstheme="minorHAnsi"/>
          <w:szCs w:val="24"/>
        </w:rPr>
        <w:t>ICWA</w:t>
      </w:r>
      <w:r w:rsidR="00F41160">
        <w:rPr>
          <w:rFonts w:cstheme="minorHAnsi"/>
          <w:szCs w:val="24"/>
        </w:rPr>
        <w:t>)</w:t>
      </w:r>
      <w:r w:rsidRPr="00A9599A">
        <w:rPr>
          <w:rFonts w:cstheme="minorHAnsi"/>
          <w:szCs w:val="24"/>
        </w:rPr>
        <w:t xml:space="preserve"> and </w:t>
      </w:r>
      <w:r w:rsidR="00F41160">
        <w:rPr>
          <w:rFonts w:cstheme="minorHAnsi"/>
          <w:szCs w:val="24"/>
        </w:rPr>
        <w:t>Washington Indian Child Welfare Act’s (</w:t>
      </w:r>
      <w:r w:rsidRPr="00A9599A">
        <w:rPr>
          <w:rFonts w:cstheme="minorHAnsi"/>
          <w:szCs w:val="24"/>
        </w:rPr>
        <w:t>WICWA</w:t>
      </w:r>
      <w:r w:rsidR="00F41160">
        <w:rPr>
          <w:rFonts w:cstheme="minorHAnsi"/>
          <w:szCs w:val="24"/>
        </w:rPr>
        <w:t>)</w:t>
      </w:r>
      <w:r w:rsidRPr="00A9599A">
        <w:rPr>
          <w:rFonts w:cstheme="minorHAnsi"/>
          <w:szCs w:val="24"/>
        </w:rPr>
        <w:t xml:space="preserve"> application. The Acts requires that courts ask each participant in a child custody proceeding whether there is “reason to know” the child is or may be an Indian child. </w:t>
      </w:r>
      <w:r w:rsidRPr="00A9599A">
        <w:rPr>
          <w:rFonts w:cstheme="minorHAnsi"/>
          <w:b/>
          <w:szCs w:val="24"/>
        </w:rPr>
        <w:t>The Supreme Court’s decision clarifies that if there is any indication from any participant that a child has Indian heritage</w:t>
      </w:r>
      <w:r w:rsidRPr="00A9599A">
        <w:rPr>
          <w:rFonts w:cstheme="minorHAnsi"/>
          <w:szCs w:val="24"/>
        </w:rPr>
        <w:t xml:space="preserve"> — for example, testimony from a social worker, parent or intervening tribe — the Acts’ protections must be</w:t>
      </w:r>
      <w:r w:rsidRPr="00A9599A">
        <w:rPr>
          <w:szCs w:val="24"/>
        </w:rPr>
        <w:t xml:space="preserve"> applied</w:t>
      </w:r>
      <w:r>
        <w:rPr>
          <w:szCs w:val="24"/>
        </w:rPr>
        <w:t>.</w:t>
      </w:r>
      <w:r w:rsidR="002523D4" w:rsidRPr="00A9599A">
        <w:rPr>
          <w:szCs w:val="24"/>
        </w:rPr>
        <w:t xml:space="preserve"> </w:t>
      </w:r>
    </w:p>
    <w:p w:rsidR="00623BD2" w:rsidRDefault="00623BD2" w:rsidP="00081795">
      <w:pPr>
        <w:pStyle w:val="Heading2"/>
      </w:pPr>
      <w:r>
        <w:t>Legislative Requests</w:t>
      </w:r>
    </w:p>
    <w:p w:rsidR="00CB5A5F" w:rsidRDefault="00CB5A5F" w:rsidP="00CB5A5F">
      <w:pPr>
        <w:pStyle w:val="Body"/>
      </w:pPr>
      <w:r>
        <w:t>In response to a recent court decision, DCYF has a placeholder decision package (DP) for meeting enhanced requirements around Indian Child Welfare. Some of the budget needs for the agency include:</w:t>
      </w:r>
    </w:p>
    <w:p w:rsidR="00CE3E07" w:rsidRPr="009C4AEA" w:rsidRDefault="00F41160" w:rsidP="009C4AEA">
      <w:pPr>
        <w:pStyle w:val="NoSpacing"/>
        <w:numPr>
          <w:ilvl w:val="0"/>
          <w:numId w:val="14"/>
        </w:numPr>
        <w:rPr>
          <w:sz w:val="24"/>
        </w:rPr>
      </w:pPr>
      <w:r w:rsidRPr="009C4AEA">
        <w:rPr>
          <w:sz w:val="24"/>
        </w:rPr>
        <w:t>A</w:t>
      </w:r>
      <w:r w:rsidR="00CB5A5F" w:rsidRPr="009C4AEA">
        <w:rPr>
          <w:sz w:val="24"/>
        </w:rPr>
        <w:t xml:space="preserve">n automated </w:t>
      </w:r>
      <w:r w:rsidRPr="009C4AEA">
        <w:rPr>
          <w:sz w:val="24"/>
        </w:rPr>
        <w:t xml:space="preserve">electronic </w:t>
      </w:r>
      <w:r w:rsidR="00CB5A5F" w:rsidRPr="009C4AEA">
        <w:rPr>
          <w:sz w:val="24"/>
        </w:rPr>
        <w:t>system</w:t>
      </w:r>
      <w:r w:rsidRPr="009C4AEA">
        <w:rPr>
          <w:sz w:val="24"/>
        </w:rPr>
        <w:t xml:space="preserve"> that </w:t>
      </w:r>
      <w:r w:rsidR="00512E38" w:rsidRPr="009C4AEA">
        <w:rPr>
          <w:sz w:val="24"/>
        </w:rPr>
        <w:t xml:space="preserve">tracks a </w:t>
      </w:r>
      <w:r w:rsidR="002C03DB" w:rsidRPr="009C4AEA">
        <w:rPr>
          <w:sz w:val="24"/>
        </w:rPr>
        <w:t>clear process for handling Indian Child Welfare cases from start to finish</w:t>
      </w:r>
      <w:r w:rsidR="0008247C" w:rsidRPr="009C4AEA">
        <w:rPr>
          <w:sz w:val="24"/>
        </w:rPr>
        <w:t>.</w:t>
      </w:r>
    </w:p>
    <w:p w:rsidR="00F41160" w:rsidRPr="009C4AEA" w:rsidRDefault="00F41160" w:rsidP="009C4AEA">
      <w:pPr>
        <w:pStyle w:val="NoSpacing"/>
        <w:numPr>
          <w:ilvl w:val="0"/>
          <w:numId w:val="14"/>
        </w:numPr>
        <w:rPr>
          <w:sz w:val="24"/>
        </w:rPr>
      </w:pPr>
      <w:r w:rsidRPr="009C4AEA">
        <w:rPr>
          <w:sz w:val="24"/>
        </w:rPr>
        <w:t>C</w:t>
      </w:r>
      <w:r w:rsidR="00CB5A5F" w:rsidRPr="009C4AEA">
        <w:rPr>
          <w:sz w:val="24"/>
        </w:rPr>
        <w:t xml:space="preserve">entralized unit to </w:t>
      </w:r>
      <w:r w:rsidRPr="009C4AEA">
        <w:rPr>
          <w:sz w:val="24"/>
        </w:rPr>
        <w:t xml:space="preserve">standardize the process across the state. </w:t>
      </w:r>
    </w:p>
    <w:p w:rsidR="00F41160" w:rsidRPr="009C4AEA" w:rsidRDefault="00F41160" w:rsidP="009C4AEA">
      <w:pPr>
        <w:pStyle w:val="NoSpacing"/>
        <w:numPr>
          <w:ilvl w:val="0"/>
          <w:numId w:val="14"/>
        </w:numPr>
        <w:rPr>
          <w:sz w:val="24"/>
        </w:rPr>
      </w:pPr>
      <w:r w:rsidRPr="009C4AEA">
        <w:rPr>
          <w:sz w:val="24"/>
        </w:rPr>
        <w:t xml:space="preserve">Develop or arrange for the development of a </w:t>
      </w:r>
      <w:r w:rsidR="008654A8" w:rsidRPr="009C4AEA">
        <w:rPr>
          <w:sz w:val="24"/>
        </w:rPr>
        <w:t>Qualified Expert Witness (</w:t>
      </w:r>
      <w:r w:rsidRPr="009C4AEA">
        <w:rPr>
          <w:sz w:val="24"/>
        </w:rPr>
        <w:t>QEW</w:t>
      </w:r>
      <w:r w:rsidR="008654A8" w:rsidRPr="009C4AEA">
        <w:rPr>
          <w:sz w:val="24"/>
        </w:rPr>
        <w:t>)</w:t>
      </w:r>
      <w:r w:rsidRPr="009C4AEA">
        <w:rPr>
          <w:sz w:val="24"/>
        </w:rPr>
        <w:t xml:space="preserve"> training to increase the availability of QEWs</w:t>
      </w:r>
    </w:p>
    <w:p w:rsidR="00F41160" w:rsidRPr="009C4AEA" w:rsidRDefault="009D173C" w:rsidP="009C4AEA">
      <w:pPr>
        <w:pStyle w:val="NoSpacing"/>
        <w:numPr>
          <w:ilvl w:val="0"/>
          <w:numId w:val="14"/>
        </w:numPr>
        <w:rPr>
          <w:sz w:val="24"/>
        </w:rPr>
      </w:pPr>
      <w:r w:rsidRPr="009C4AEA">
        <w:rPr>
          <w:sz w:val="24"/>
        </w:rPr>
        <w:t>Establish a QEW liaison/</w:t>
      </w:r>
      <w:r w:rsidR="00F41160" w:rsidRPr="009C4AEA">
        <w:rPr>
          <w:sz w:val="24"/>
        </w:rPr>
        <w:t>QEW Coordinator position</w:t>
      </w:r>
      <w:r w:rsidR="0008247C" w:rsidRPr="009C4AEA">
        <w:rPr>
          <w:sz w:val="24"/>
        </w:rPr>
        <w:t>.</w:t>
      </w:r>
    </w:p>
    <w:p w:rsidR="00F725DB" w:rsidRDefault="00623BD2" w:rsidP="00081795">
      <w:pPr>
        <w:pStyle w:val="Heading2"/>
      </w:pPr>
      <w:r>
        <w:t xml:space="preserve">Internal </w:t>
      </w:r>
      <w:r w:rsidR="00F725DB">
        <w:t>Decision Points</w:t>
      </w:r>
    </w:p>
    <w:p w:rsidR="00CB5A5F" w:rsidRDefault="003662B7" w:rsidP="00CB5A5F">
      <w:pPr>
        <w:pStyle w:val="Body"/>
      </w:pPr>
      <w:r>
        <w:t>DCYF</w:t>
      </w:r>
      <w:r w:rsidR="00CB5A5F">
        <w:t xml:space="preserve"> mu</w:t>
      </w:r>
      <w:r w:rsidR="007C7FB9">
        <w:t xml:space="preserve">st determine what changes are necessary to our </w:t>
      </w:r>
      <w:r w:rsidR="00CB5A5F">
        <w:t>practice and are considering the following</w:t>
      </w:r>
      <w:r w:rsidR="007C7FB9">
        <w:t>:</w:t>
      </w:r>
    </w:p>
    <w:p w:rsidR="00DD5F13" w:rsidRPr="00684D75" w:rsidRDefault="00DD5F13" w:rsidP="009C4AE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C4AEA">
        <w:rPr>
          <w:sz w:val="24"/>
          <w:szCs w:val="24"/>
        </w:rPr>
        <w:t xml:space="preserve">Tribal </w:t>
      </w:r>
      <w:r w:rsidRPr="00684D75">
        <w:rPr>
          <w:sz w:val="24"/>
          <w:szCs w:val="24"/>
        </w:rPr>
        <w:t xml:space="preserve">heritage </w:t>
      </w:r>
      <w:r w:rsidR="00153C97">
        <w:rPr>
          <w:sz w:val="24"/>
          <w:szCs w:val="24"/>
        </w:rPr>
        <w:t>statement.</w:t>
      </w:r>
    </w:p>
    <w:p w:rsidR="00CB5A5F" w:rsidRPr="00684D75" w:rsidRDefault="00CB5A5F" w:rsidP="009C4AE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84D75">
        <w:rPr>
          <w:sz w:val="24"/>
          <w:szCs w:val="24"/>
        </w:rPr>
        <w:t>Policy review and development for Q</w:t>
      </w:r>
      <w:r w:rsidR="008654A8" w:rsidRPr="00684D75">
        <w:rPr>
          <w:sz w:val="24"/>
          <w:szCs w:val="24"/>
        </w:rPr>
        <w:t>E</w:t>
      </w:r>
      <w:r w:rsidRPr="00684D75">
        <w:rPr>
          <w:sz w:val="24"/>
          <w:szCs w:val="24"/>
        </w:rPr>
        <w:t>W policies and procedures</w:t>
      </w:r>
      <w:r w:rsidR="00512E38" w:rsidRPr="00684D75">
        <w:rPr>
          <w:sz w:val="24"/>
          <w:szCs w:val="24"/>
        </w:rPr>
        <w:t>.</w:t>
      </w:r>
    </w:p>
    <w:p w:rsidR="009D173C" w:rsidRPr="00684D75" w:rsidRDefault="00512E38" w:rsidP="009C4AE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84D75">
        <w:rPr>
          <w:sz w:val="24"/>
          <w:szCs w:val="24"/>
        </w:rPr>
        <w:t>Streamline process for obtaining tribal responses regarding if the child is an Indian child (prior to legal notice being sent).</w:t>
      </w:r>
    </w:p>
    <w:p w:rsidR="00684D75" w:rsidRDefault="009D173C" w:rsidP="00684D75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84D75">
        <w:rPr>
          <w:sz w:val="24"/>
          <w:szCs w:val="24"/>
        </w:rPr>
        <w:t xml:space="preserve">Determine the legal relationship between NAIR inquiry response and reason to know standards. </w:t>
      </w:r>
    </w:p>
    <w:p w:rsidR="00CE3E07" w:rsidRPr="00684D75" w:rsidRDefault="00E80EBB" w:rsidP="00684D75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84D75">
        <w:rPr>
          <w:sz w:val="24"/>
          <w:szCs w:val="24"/>
        </w:rPr>
        <w:lastRenderedPageBreak/>
        <w:t>E</w:t>
      </w:r>
      <w:r w:rsidR="002C03DB" w:rsidRPr="00684D75">
        <w:rPr>
          <w:sz w:val="24"/>
          <w:szCs w:val="24"/>
        </w:rPr>
        <w:t>xpand the number of qua</w:t>
      </w:r>
      <w:r w:rsidRPr="00684D75">
        <w:rPr>
          <w:sz w:val="24"/>
          <w:szCs w:val="24"/>
        </w:rPr>
        <w:t>lified Indian Expert Witnesses i.e. c</w:t>
      </w:r>
      <w:r w:rsidR="002C03DB" w:rsidRPr="00684D75">
        <w:rPr>
          <w:sz w:val="24"/>
          <w:szCs w:val="24"/>
        </w:rPr>
        <w:t>an social workers serve as qualified Indian Expert witness, when a tribal representative is not available</w:t>
      </w:r>
      <w:r w:rsidR="005D0E7E" w:rsidRPr="00684D75">
        <w:rPr>
          <w:sz w:val="24"/>
          <w:szCs w:val="24"/>
        </w:rPr>
        <w:t xml:space="preserve"> for certain cases, unknown tribe, no response from tribe(s)</w:t>
      </w:r>
      <w:r w:rsidR="00684D75" w:rsidRPr="00684D75">
        <w:rPr>
          <w:sz w:val="24"/>
          <w:szCs w:val="24"/>
        </w:rPr>
        <w:t xml:space="preserve">. </w:t>
      </w:r>
      <w:r w:rsidR="002C03DB" w:rsidRPr="00684D75">
        <w:rPr>
          <w:sz w:val="24"/>
          <w:szCs w:val="24"/>
        </w:rPr>
        <w:t xml:space="preserve"> </w:t>
      </w:r>
    </w:p>
    <w:p w:rsidR="00F725DB" w:rsidRDefault="00F725DB" w:rsidP="009D173C">
      <w:pPr>
        <w:pStyle w:val="Heading2"/>
      </w:pPr>
      <w:r>
        <w:t>Next Steps</w:t>
      </w:r>
    </w:p>
    <w:p w:rsidR="00F725DB" w:rsidRPr="006C73B3" w:rsidRDefault="00F725DB" w:rsidP="00F725DB">
      <w:pPr>
        <w:rPr>
          <w:sz w:val="24"/>
        </w:rPr>
      </w:pPr>
      <w:r w:rsidRPr="006C73B3">
        <w:rPr>
          <w:sz w:val="24"/>
        </w:rPr>
        <w:t xml:space="preserve">DCYF will begin making policy revisions through the ICW Subcommittee in early January. </w:t>
      </w:r>
    </w:p>
    <w:p w:rsidR="00F725DB" w:rsidRPr="006C73B3" w:rsidRDefault="00F725DB" w:rsidP="00F725DB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</w:rPr>
      </w:pPr>
      <w:r w:rsidRPr="006C73B3">
        <w:rPr>
          <w:rFonts w:eastAsia="Times New Roman"/>
          <w:sz w:val="24"/>
        </w:rPr>
        <w:t>DCYF will work to develop process maps of the current Qualified Expert Witness and legal notice systems to address needed changes.</w:t>
      </w:r>
      <w:r w:rsidR="00167E86">
        <w:rPr>
          <w:rFonts w:eastAsia="Times New Roman"/>
          <w:sz w:val="24"/>
        </w:rPr>
        <w:br/>
      </w:r>
    </w:p>
    <w:p w:rsidR="00167E86" w:rsidRDefault="00F725DB" w:rsidP="00167E86">
      <w:pPr>
        <w:numPr>
          <w:ilvl w:val="0"/>
          <w:numId w:val="5"/>
        </w:numPr>
        <w:spacing w:after="240" w:line="240" w:lineRule="auto"/>
        <w:rPr>
          <w:rFonts w:eastAsia="Times New Roman"/>
          <w:sz w:val="24"/>
        </w:rPr>
      </w:pPr>
      <w:r w:rsidRPr="006C73B3">
        <w:rPr>
          <w:rFonts w:eastAsia="Times New Roman"/>
          <w:sz w:val="24"/>
        </w:rPr>
        <w:t xml:space="preserve">DCYF is submitting a decision package to address </w:t>
      </w:r>
      <w:r w:rsidR="005D0E7E" w:rsidRPr="00684D75">
        <w:rPr>
          <w:rFonts w:eastAsia="Times New Roman"/>
          <w:sz w:val="24"/>
        </w:rPr>
        <w:t>the needed increase in services and programs</w:t>
      </w:r>
      <w:r w:rsidR="00684D75" w:rsidRPr="00684D75">
        <w:rPr>
          <w:rFonts w:eastAsia="Times New Roman"/>
          <w:sz w:val="24"/>
        </w:rPr>
        <w:t>.</w:t>
      </w:r>
    </w:p>
    <w:p w:rsidR="00F725DB" w:rsidRPr="00167E86" w:rsidRDefault="00F725DB" w:rsidP="00167E86">
      <w:pPr>
        <w:numPr>
          <w:ilvl w:val="0"/>
          <w:numId w:val="5"/>
        </w:numPr>
        <w:spacing w:after="240" w:line="240" w:lineRule="auto"/>
        <w:rPr>
          <w:rFonts w:eastAsia="Times New Roman"/>
          <w:sz w:val="24"/>
        </w:rPr>
      </w:pPr>
      <w:r w:rsidRPr="00167E86">
        <w:rPr>
          <w:rFonts w:eastAsia="Times New Roman"/>
          <w:sz w:val="24"/>
        </w:rPr>
        <w:t>DCYF has not made any policy changes at this time</w:t>
      </w:r>
      <w:r w:rsidR="005D0E7E" w:rsidRPr="00167E86">
        <w:rPr>
          <w:rFonts w:eastAsia="Times New Roman"/>
          <w:sz w:val="24"/>
        </w:rPr>
        <w:t xml:space="preserve"> but we look forward to partnering with the tribes </w:t>
      </w:r>
      <w:r w:rsidR="00AC3225" w:rsidRPr="00167E86">
        <w:rPr>
          <w:rFonts w:eastAsia="Times New Roman"/>
          <w:sz w:val="24"/>
        </w:rPr>
        <w:t xml:space="preserve">in the future </w:t>
      </w:r>
      <w:r w:rsidR="005D0E7E" w:rsidRPr="00167E86">
        <w:rPr>
          <w:rFonts w:eastAsia="Times New Roman"/>
          <w:sz w:val="24"/>
        </w:rPr>
        <w:t>t</w:t>
      </w:r>
      <w:r w:rsidR="00AC3225" w:rsidRPr="00167E86">
        <w:rPr>
          <w:rFonts w:eastAsia="Times New Roman"/>
          <w:sz w:val="24"/>
        </w:rPr>
        <w:t xml:space="preserve">o develop and implement policy and practice change. </w:t>
      </w:r>
    </w:p>
    <w:p w:rsidR="00081795" w:rsidRDefault="00CB5A5F" w:rsidP="00081795">
      <w:pPr>
        <w:pStyle w:val="Heading2"/>
      </w:pPr>
      <w:bookmarkStart w:id="1" w:name="_Hlk56176690"/>
      <w:r>
        <w:t>Questions</w:t>
      </w:r>
    </w:p>
    <w:p w:rsidR="003348A1" w:rsidRPr="00A9599A" w:rsidRDefault="007B1F4B" w:rsidP="003348A1">
      <w:pPr>
        <w:pStyle w:val="Body"/>
        <w:rPr>
          <w:szCs w:val="24"/>
        </w:rPr>
      </w:pPr>
      <w:r>
        <w:rPr>
          <w:szCs w:val="24"/>
        </w:rPr>
        <w:t xml:space="preserve">DCYF facilitates ongoing discussions with tribal partners. Through </w:t>
      </w:r>
      <w:r w:rsidR="00C873C4">
        <w:rPr>
          <w:szCs w:val="24"/>
        </w:rPr>
        <w:t>ongoing communication with the tribes</w:t>
      </w:r>
      <w:r>
        <w:rPr>
          <w:szCs w:val="24"/>
        </w:rPr>
        <w:t xml:space="preserve"> DCYF will </w:t>
      </w:r>
      <w:r w:rsidR="00C873C4">
        <w:rPr>
          <w:szCs w:val="24"/>
        </w:rPr>
        <w:t>continue to seek</w:t>
      </w:r>
      <w:r>
        <w:rPr>
          <w:szCs w:val="24"/>
        </w:rPr>
        <w:t xml:space="preserve"> input and implement changes to align with the Court’s opinion.  </w:t>
      </w:r>
      <w:r w:rsidR="003348A1">
        <w:rPr>
          <w:szCs w:val="24"/>
        </w:rPr>
        <w:t xml:space="preserve">This opinion is a big win for tribal children, tribal sovereignty and our continued state/ tribal partnerships.  </w:t>
      </w:r>
    </w:p>
    <w:p w:rsidR="003C26F0" w:rsidRPr="00081795" w:rsidRDefault="005C2340" w:rsidP="00081795">
      <w:pPr>
        <w:pStyle w:val="Body"/>
      </w:pPr>
      <w:r>
        <w:t>Contact Tlee</w:t>
      </w:r>
      <w:r w:rsidR="007B1F4B">
        <w:t>na</w:t>
      </w:r>
      <w:r>
        <w:t xml:space="preserve"> Ives, Director of Tribal Relations</w:t>
      </w:r>
      <w:bookmarkEnd w:id="1"/>
      <w:r w:rsidR="00C045C8">
        <w:t xml:space="preserve"> </w:t>
      </w:r>
      <w:hyperlink r:id="rId9" w:history="1">
        <w:r w:rsidR="00C045C8">
          <w:rPr>
            <w:rStyle w:val="Hyperlink"/>
          </w:rPr>
          <w:t>t</w:t>
        </w:r>
        <w:r w:rsidR="00C045C8" w:rsidRPr="009E5A0A">
          <w:rPr>
            <w:rStyle w:val="Hyperlink"/>
          </w:rPr>
          <w:t>leena.ives@dcyf.wa.gov</w:t>
        </w:r>
      </w:hyperlink>
      <w:r w:rsidR="00C045C8">
        <w:t xml:space="preserve"> </w:t>
      </w:r>
    </w:p>
    <w:sectPr w:rsidR="003C26F0" w:rsidRPr="00081795" w:rsidSect="00E56E03">
      <w:footerReference w:type="default" r:id="rId10"/>
      <w:headerReference w:type="first" r:id="rId11"/>
      <w:footerReference w:type="first" r:id="rId12"/>
      <w:pgSz w:w="12240" w:h="15840"/>
      <w:pgMar w:top="1620" w:right="1440" w:bottom="1440" w:left="1440" w:header="100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20" w:rsidRDefault="00BD6120" w:rsidP="00743F0D">
      <w:pPr>
        <w:spacing w:after="0" w:line="240" w:lineRule="auto"/>
      </w:pPr>
      <w:r>
        <w:separator/>
      </w:r>
    </w:p>
    <w:p w:rsidR="00BD6120" w:rsidRDefault="00BD6120"/>
  </w:endnote>
  <w:endnote w:type="continuationSeparator" w:id="0">
    <w:p w:rsidR="00BD6120" w:rsidRDefault="00BD6120" w:rsidP="00743F0D">
      <w:pPr>
        <w:spacing w:after="0" w:line="240" w:lineRule="auto"/>
      </w:pPr>
      <w:r>
        <w:continuationSeparator/>
      </w:r>
    </w:p>
    <w:p w:rsidR="00BD6120" w:rsidRDefault="00BD6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74" w:rsidRPr="005949B6" w:rsidRDefault="00741D74" w:rsidP="002E795C">
    <w:pPr>
      <w:pStyle w:val="Footer"/>
    </w:pPr>
    <w:r w:rsidRPr="005949B6">
      <w:t xml:space="preserve">Original Date: </w:t>
    </w:r>
    <w:r w:rsidR="00167E86">
      <w:t>November 13</w:t>
    </w:r>
    <w:r w:rsidRPr="005949B6">
      <w:t>, 20</w:t>
    </w:r>
    <w:r w:rsidR="00167E86">
      <w:t>20</w:t>
    </w:r>
  </w:p>
  <w:p w:rsidR="003348A1" w:rsidRPr="003348A1" w:rsidRDefault="00167E86" w:rsidP="003348A1">
    <w:pPr>
      <w:pStyle w:val="Footer"/>
    </w:pPr>
    <w:r>
      <w:t>Office of Tribal Relations</w:t>
    </w:r>
    <w:r w:rsidR="00741D74" w:rsidRPr="005949B6">
      <w:t xml:space="preserve"> | </w:t>
    </w:r>
    <w:r w:rsidR="003348A1" w:rsidRPr="003348A1">
      <w:t>Approved for distribution by Tleena Ives, Director</w:t>
    </w:r>
  </w:p>
  <w:p w:rsidR="00741D74" w:rsidRPr="005949B6" w:rsidRDefault="00741D74" w:rsidP="003348A1">
    <w:pPr>
      <w:pStyle w:val="FooterText"/>
      <w:jc w:val="left"/>
    </w:pPr>
  </w:p>
  <w:sdt>
    <w:sdtPr>
      <w:rPr>
        <w:rFonts w:ascii="Arial" w:hAnsi="Arial"/>
        <w:sz w:val="18"/>
      </w:rPr>
      <w:id w:val="899025300"/>
      <w:docPartObj>
        <w:docPartGallery w:val="Page Numbers (Bottom of Page)"/>
        <w:docPartUnique/>
      </w:docPartObj>
    </w:sdtPr>
    <w:sdtEndPr>
      <w:rPr>
        <w:rStyle w:val="FooterChar"/>
        <w:rFonts w:ascii="Calibri Light" w:hAnsi="Calibri Light"/>
        <w:sz w:val="20"/>
      </w:rPr>
    </w:sdtEndPr>
    <w:sdtContent>
      <w:p w:rsidR="00191F40" w:rsidRPr="0090206F" w:rsidRDefault="00741D74" w:rsidP="00741D74">
        <w:pPr>
          <w:jc w:val="center"/>
          <w:rPr>
            <w:rFonts w:ascii="Arial" w:hAnsi="Arial"/>
            <w:sz w:val="18"/>
          </w:rPr>
        </w:pPr>
        <w:r w:rsidRPr="00507E1E">
          <w:rPr>
            <w:rStyle w:val="FooterChar"/>
          </w:rPr>
          <w:fldChar w:fldCharType="begin"/>
        </w:r>
        <w:r w:rsidRPr="00507E1E">
          <w:rPr>
            <w:rStyle w:val="FooterChar"/>
          </w:rPr>
          <w:instrText xml:space="preserve"> PAGE   \* MERGEFORMAT </w:instrText>
        </w:r>
        <w:r w:rsidRPr="00507E1E">
          <w:rPr>
            <w:rStyle w:val="FooterChar"/>
          </w:rPr>
          <w:fldChar w:fldCharType="separate"/>
        </w:r>
        <w:r w:rsidR="008A0FDC">
          <w:rPr>
            <w:rStyle w:val="FooterChar"/>
            <w:noProof/>
          </w:rPr>
          <w:t>2</w:t>
        </w:r>
        <w:r w:rsidRPr="00507E1E">
          <w:rPr>
            <w:rStyle w:val="FooterCha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95" w:rsidRDefault="00081795" w:rsidP="00081795">
    <w:pPr>
      <w:pStyle w:val="Footer"/>
      <w:jc w:val="left"/>
      <w:rPr>
        <w:rFonts w:cs="Calibri Light"/>
      </w:rPr>
    </w:pPr>
    <w:r>
      <w:rPr>
        <w:noProof/>
      </w:rPr>
      <w:drawing>
        <wp:inline distT="0" distB="0" distL="0" distR="0" wp14:anchorId="6F469DE1" wp14:editId="0323BE3F">
          <wp:extent cx="2514600" cy="426720"/>
          <wp:effectExtent l="0" t="0" r="0" b="0"/>
          <wp:docPr id="13" name="Picture 13" descr="Bottom logo graphic" title="Washington State Department of Children, Youth &amp; Famil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YF-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1795">
      <w:rPr>
        <w:rFonts w:cs="Calibri Light"/>
      </w:rPr>
      <w:t xml:space="preserve"> </w:t>
    </w:r>
    <w:r w:rsidRPr="00081795">
      <w:rPr>
        <w:rFonts w:cs="Calibri Light"/>
        <w:noProof/>
      </w:rPr>
      <mc:AlternateContent>
        <mc:Choice Requires="wps">
          <w:drawing>
            <wp:inline distT="0" distB="0" distL="0" distR="0" wp14:anchorId="440DEB94" wp14:editId="651357EB">
              <wp:extent cx="3333750" cy="72898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28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795" w:rsidRPr="00081795" w:rsidRDefault="00081795" w:rsidP="00081795">
                          <w:pPr>
                            <w:pStyle w:val="Footer"/>
                            <w:jc w:val="right"/>
                          </w:pPr>
                          <w:r w:rsidRPr="00081795">
                            <w:t xml:space="preserve">Original Date: </w:t>
                          </w:r>
                          <w:r w:rsidR="00437B84">
                            <w:t>November</w:t>
                          </w:r>
                          <w:r w:rsidRPr="00081795">
                            <w:t xml:space="preserve"> </w:t>
                          </w:r>
                          <w:r w:rsidR="00437B84">
                            <w:t>1</w:t>
                          </w:r>
                          <w:r w:rsidR="00167E86">
                            <w:t>3</w:t>
                          </w:r>
                          <w:r w:rsidR="00437B84">
                            <w:t>, 2020</w:t>
                          </w:r>
                          <w:r w:rsidRPr="00081795">
                            <w:br/>
                          </w:r>
                          <w:r w:rsidR="00437B84">
                            <w:t>Office of Tribal Relations</w:t>
                          </w:r>
                        </w:p>
                        <w:p w:rsidR="00081795" w:rsidRPr="00081795" w:rsidRDefault="00081795" w:rsidP="00081795">
                          <w:pPr>
                            <w:pStyle w:val="Footer"/>
                            <w:jc w:val="right"/>
                          </w:pPr>
                          <w:r w:rsidRPr="00081795">
                            <w:t xml:space="preserve">Approved for distribution by </w:t>
                          </w:r>
                          <w:r w:rsidR="00437B84">
                            <w:t>Tleena Ives</w:t>
                          </w:r>
                          <w:r w:rsidRPr="00081795">
                            <w:t xml:space="preserve">, </w:t>
                          </w:r>
                          <w:r w:rsidR="00437B84">
                            <w:t>Director</w:t>
                          </w:r>
                        </w:p>
                        <w:p w:rsidR="00081795" w:rsidRPr="00081795" w:rsidRDefault="00081795" w:rsidP="0008179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0DE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62.5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" filled="f" stroked="f">
              <v:textbox>
                <w:txbxContent>
                  <w:p w:rsidR="00081795" w:rsidRPr="00081795" w:rsidRDefault="00081795" w:rsidP="00081795">
                    <w:pPr>
                      <w:pStyle w:val="Footer"/>
                      <w:jc w:val="right"/>
                    </w:pPr>
                    <w:r w:rsidRPr="00081795">
                      <w:t xml:space="preserve">Original Date: </w:t>
                    </w:r>
                    <w:r w:rsidR="00437B84">
                      <w:t>November</w:t>
                    </w:r>
                    <w:r w:rsidRPr="00081795">
                      <w:t xml:space="preserve"> </w:t>
                    </w:r>
                    <w:r w:rsidR="00437B84">
                      <w:t>1</w:t>
                    </w:r>
                    <w:r w:rsidR="00167E86">
                      <w:t>3</w:t>
                    </w:r>
                    <w:r w:rsidR="00437B84">
                      <w:t>, 2020</w:t>
                    </w:r>
                    <w:r w:rsidRPr="00081795">
                      <w:br/>
                    </w:r>
                    <w:r w:rsidR="00437B84">
                      <w:t>Office of Tribal Relations</w:t>
                    </w:r>
                  </w:p>
                  <w:p w:rsidR="00081795" w:rsidRPr="00081795" w:rsidRDefault="00081795" w:rsidP="00081795">
                    <w:pPr>
                      <w:pStyle w:val="Footer"/>
                      <w:jc w:val="right"/>
                    </w:pPr>
                    <w:r w:rsidRPr="00081795">
                      <w:t xml:space="preserve">Approved for distribution by </w:t>
                    </w:r>
                    <w:r w:rsidR="00437B84">
                      <w:t>Tleena Ives</w:t>
                    </w:r>
                    <w:r w:rsidRPr="00081795">
                      <w:t xml:space="preserve">, </w:t>
                    </w:r>
                    <w:r w:rsidR="00437B84">
                      <w:t>Director</w:t>
                    </w:r>
                  </w:p>
                  <w:p w:rsidR="00081795" w:rsidRPr="00081795" w:rsidRDefault="00081795" w:rsidP="00081795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20" w:rsidRDefault="00BD6120" w:rsidP="00743F0D">
      <w:pPr>
        <w:spacing w:after="0" w:line="240" w:lineRule="auto"/>
      </w:pPr>
      <w:r>
        <w:separator/>
      </w:r>
    </w:p>
    <w:p w:rsidR="00BD6120" w:rsidRDefault="00BD6120"/>
  </w:footnote>
  <w:footnote w:type="continuationSeparator" w:id="0">
    <w:p w:rsidR="00BD6120" w:rsidRDefault="00BD6120" w:rsidP="00743F0D">
      <w:pPr>
        <w:spacing w:after="0" w:line="240" w:lineRule="auto"/>
      </w:pPr>
      <w:r>
        <w:continuationSeparator/>
      </w:r>
    </w:p>
    <w:p w:rsidR="00BD6120" w:rsidRDefault="00BD6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40" w:rsidRDefault="00437B84" w:rsidP="00D844E7">
    <w:pPr>
      <w:pStyle w:val="Title"/>
      <w:pBdr>
        <w:bottom w:val="single" w:sz="6" w:space="1" w:color="auto"/>
      </w:pBdr>
    </w:pPr>
    <w:r w:rsidRPr="00437B84">
      <w:rPr>
        <w:i/>
        <w:szCs w:val="24"/>
      </w:rPr>
      <w:t>In re Dependency of Z.J.G. and M.E.J.G.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7B6"/>
    <w:multiLevelType w:val="hybridMultilevel"/>
    <w:tmpl w:val="FAB6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7EE"/>
    <w:multiLevelType w:val="hybridMultilevel"/>
    <w:tmpl w:val="5EA0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0C7C"/>
    <w:multiLevelType w:val="hybridMultilevel"/>
    <w:tmpl w:val="63D20F1E"/>
    <w:lvl w:ilvl="0" w:tplc="72C8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84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6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42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2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43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23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4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6C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01CE6"/>
    <w:multiLevelType w:val="hybridMultilevel"/>
    <w:tmpl w:val="A9E8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85E19"/>
    <w:multiLevelType w:val="hybridMultilevel"/>
    <w:tmpl w:val="6832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222D"/>
    <w:multiLevelType w:val="hybridMultilevel"/>
    <w:tmpl w:val="92B2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85D"/>
    <w:multiLevelType w:val="hybridMultilevel"/>
    <w:tmpl w:val="163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25E0"/>
    <w:multiLevelType w:val="hybridMultilevel"/>
    <w:tmpl w:val="859E8798"/>
    <w:lvl w:ilvl="0" w:tplc="35D80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E93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20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C9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C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C1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89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27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46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F4019C"/>
    <w:multiLevelType w:val="hybridMultilevel"/>
    <w:tmpl w:val="DA00C774"/>
    <w:lvl w:ilvl="0" w:tplc="229E9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2B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0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23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E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A4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8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6C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EC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004AF0"/>
    <w:multiLevelType w:val="hybridMultilevel"/>
    <w:tmpl w:val="BEE0248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17126"/>
    <w:multiLevelType w:val="hybridMultilevel"/>
    <w:tmpl w:val="1194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readOnly" w:enforcement="0"/>
  <w:defaultTabStop w:val="720"/>
  <w:clickAndTypeStyle w:val="Body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szQwNLI0sjS2NDVW0lEKTi0uzszPAykwqgUAmqvdwywAAAA="/>
  </w:docVars>
  <w:rsids>
    <w:rsidRoot w:val="0099398B"/>
    <w:rsid w:val="00012145"/>
    <w:rsid w:val="000215A1"/>
    <w:rsid w:val="0003309B"/>
    <w:rsid w:val="00041B7A"/>
    <w:rsid w:val="00064E69"/>
    <w:rsid w:val="00066841"/>
    <w:rsid w:val="00081795"/>
    <w:rsid w:val="0008247C"/>
    <w:rsid w:val="00097A22"/>
    <w:rsid w:val="000B0739"/>
    <w:rsid w:val="000E1A43"/>
    <w:rsid w:val="000E226B"/>
    <w:rsid w:val="000E7E8A"/>
    <w:rsid w:val="000F7B6C"/>
    <w:rsid w:val="001045C8"/>
    <w:rsid w:val="00111E8D"/>
    <w:rsid w:val="00115FEE"/>
    <w:rsid w:val="00135F9A"/>
    <w:rsid w:val="00143581"/>
    <w:rsid w:val="0014691B"/>
    <w:rsid w:val="00153C97"/>
    <w:rsid w:val="00167E86"/>
    <w:rsid w:val="0017590F"/>
    <w:rsid w:val="001857D2"/>
    <w:rsid w:val="00186EAA"/>
    <w:rsid w:val="00191F40"/>
    <w:rsid w:val="001A4BB4"/>
    <w:rsid w:val="001A5BA6"/>
    <w:rsid w:val="001C09B4"/>
    <w:rsid w:val="001C341A"/>
    <w:rsid w:val="001C5049"/>
    <w:rsid w:val="001C7CD6"/>
    <w:rsid w:val="001D3EC1"/>
    <w:rsid w:val="00202042"/>
    <w:rsid w:val="00212D24"/>
    <w:rsid w:val="0023413C"/>
    <w:rsid w:val="002523D4"/>
    <w:rsid w:val="002604B5"/>
    <w:rsid w:val="002815F7"/>
    <w:rsid w:val="002929A3"/>
    <w:rsid w:val="002A2970"/>
    <w:rsid w:val="002B7AC8"/>
    <w:rsid w:val="002C03DB"/>
    <w:rsid w:val="002C57B7"/>
    <w:rsid w:val="002C57BE"/>
    <w:rsid w:val="002D7C75"/>
    <w:rsid w:val="002E485C"/>
    <w:rsid w:val="002E795C"/>
    <w:rsid w:val="003224DA"/>
    <w:rsid w:val="00324F39"/>
    <w:rsid w:val="00334093"/>
    <w:rsid w:val="003348A1"/>
    <w:rsid w:val="00337774"/>
    <w:rsid w:val="00342786"/>
    <w:rsid w:val="00344119"/>
    <w:rsid w:val="0034658D"/>
    <w:rsid w:val="003512FA"/>
    <w:rsid w:val="003662B7"/>
    <w:rsid w:val="003947A2"/>
    <w:rsid w:val="003A6A24"/>
    <w:rsid w:val="003B1D9B"/>
    <w:rsid w:val="003B6687"/>
    <w:rsid w:val="003C041D"/>
    <w:rsid w:val="003C26F0"/>
    <w:rsid w:val="003C55CF"/>
    <w:rsid w:val="003E08DD"/>
    <w:rsid w:val="00404B7C"/>
    <w:rsid w:val="00421BC6"/>
    <w:rsid w:val="0042627A"/>
    <w:rsid w:val="00435F79"/>
    <w:rsid w:val="00437B84"/>
    <w:rsid w:val="00440BBB"/>
    <w:rsid w:val="00440EA8"/>
    <w:rsid w:val="00453E62"/>
    <w:rsid w:val="00474E73"/>
    <w:rsid w:val="004832C2"/>
    <w:rsid w:val="004A68F9"/>
    <w:rsid w:val="004B70E7"/>
    <w:rsid w:val="004C0139"/>
    <w:rsid w:val="004F2874"/>
    <w:rsid w:val="004F7A4C"/>
    <w:rsid w:val="00507E1E"/>
    <w:rsid w:val="00512E38"/>
    <w:rsid w:val="005154E2"/>
    <w:rsid w:val="00533A6C"/>
    <w:rsid w:val="005405DB"/>
    <w:rsid w:val="00541423"/>
    <w:rsid w:val="00545E37"/>
    <w:rsid w:val="005575D8"/>
    <w:rsid w:val="00590B3A"/>
    <w:rsid w:val="005949B6"/>
    <w:rsid w:val="005A336D"/>
    <w:rsid w:val="005C2340"/>
    <w:rsid w:val="005D0E7E"/>
    <w:rsid w:val="005F6943"/>
    <w:rsid w:val="005F70E0"/>
    <w:rsid w:val="006032C1"/>
    <w:rsid w:val="00604617"/>
    <w:rsid w:val="006072D7"/>
    <w:rsid w:val="00623BD2"/>
    <w:rsid w:val="00640715"/>
    <w:rsid w:val="00642CED"/>
    <w:rsid w:val="00643433"/>
    <w:rsid w:val="0066192D"/>
    <w:rsid w:val="00667419"/>
    <w:rsid w:val="00684D75"/>
    <w:rsid w:val="00685716"/>
    <w:rsid w:val="006B268F"/>
    <w:rsid w:val="006B57C6"/>
    <w:rsid w:val="006C73B3"/>
    <w:rsid w:val="006D37AF"/>
    <w:rsid w:val="006E7E59"/>
    <w:rsid w:val="006F4BD7"/>
    <w:rsid w:val="006F5322"/>
    <w:rsid w:val="007217A4"/>
    <w:rsid w:val="00721801"/>
    <w:rsid w:val="00735EF8"/>
    <w:rsid w:val="00740B7E"/>
    <w:rsid w:val="00741D74"/>
    <w:rsid w:val="00743F0D"/>
    <w:rsid w:val="0075160B"/>
    <w:rsid w:val="00765C6F"/>
    <w:rsid w:val="007671C0"/>
    <w:rsid w:val="007937C5"/>
    <w:rsid w:val="007B1F4B"/>
    <w:rsid w:val="007C3399"/>
    <w:rsid w:val="007C7FB9"/>
    <w:rsid w:val="007D1CDA"/>
    <w:rsid w:val="007D351E"/>
    <w:rsid w:val="007D6B1A"/>
    <w:rsid w:val="007E4A4A"/>
    <w:rsid w:val="007E6CC3"/>
    <w:rsid w:val="007F08A9"/>
    <w:rsid w:val="007F61A7"/>
    <w:rsid w:val="00800BCD"/>
    <w:rsid w:val="008162BC"/>
    <w:rsid w:val="00820EB7"/>
    <w:rsid w:val="008270D2"/>
    <w:rsid w:val="008425B2"/>
    <w:rsid w:val="008468F5"/>
    <w:rsid w:val="00855742"/>
    <w:rsid w:val="0085636F"/>
    <w:rsid w:val="008654A8"/>
    <w:rsid w:val="0088014B"/>
    <w:rsid w:val="00895BAC"/>
    <w:rsid w:val="008A0FDC"/>
    <w:rsid w:val="008C052E"/>
    <w:rsid w:val="008C4AE7"/>
    <w:rsid w:val="008D2B44"/>
    <w:rsid w:val="008F1DF5"/>
    <w:rsid w:val="0090206F"/>
    <w:rsid w:val="00902913"/>
    <w:rsid w:val="009173BB"/>
    <w:rsid w:val="009356BC"/>
    <w:rsid w:val="00945879"/>
    <w:rsid w:val="00955A85"/>
    <w:rsid w:val="00960706"/>
    <w:rsid w:val="00966324"/>
    <w:rsid w:val="0099398B"/>
    <w:rsid w:val="00996BE0"/>
    <w:rsid w:val="009A6DA5"/>
    <w:rsid w:val="009B428F"/>
    <w:rsid w:val="009C1AE8"/>
    <w:rsid w:val="009C3143"/>
    <w:rsid w:val="009C4AEA"/>
    <w:rsid w:val="009C5B5B"/>
    <w:rsid w:val="009D173C"/>
    <w:rsid w:val="009E62C2"/>
    <w:rsid w:val="00A26316"/>
    <w:rsid w:val="00A31A49"/>
    <w:rsid w:val="00A34950"/>
    <w:rsid w:val="00A35377"/>
    <w:rsid w:val="00A3639C"/>
    <w:rsid w:val="00A37D15"/>
    <w:rsid w:val="00A468CE"/>
    <w:rsid w:val="00A55DA2"/>
    <w:rsid w:val="00A60084"/>
    <w:rsid w:val="00A70E23"/>
    <w:rsid w:val="00A7299C"/>
    <w:rsid w:val="00A73ECF"/>
    <w:rsid w:val="00A8241C"/>
    <w:rsid w:val="00A82EF1"/>
    <w:rsid w:val="00A9599A"/>
    <w:rsid w:val="00AA02F4"/>
    <w:rsid w:val="00AB3625"/>
    <w:rsid w:val="00AB6BB6"/>
    <w:rsid w:val="00AB77B0"/>
    <w:rsid w:val="00AC106D"/>
    <w:rsid w:val="00AC3225"/>
    <w:rsid w:val="00AC35B1"/>
    <w:rsid w:val="00AC4937"/>
    <w:rsid w:val="00AD34EC"/>
    <w:rsid w:val="00AE6760"/>
    <w:rsid w:val="00AF15E9"/>
    <w:rsid w:val="00B00584"/>
    <w:rsid w:val="00B24DA9"/>
    <w:rsid w:val="00B340FB"/>
    <w:rsid w:val="00B4679B"/>
    <w:rsid w:val="00B4734C"/>
    <w:rsid w:val="00B53106"/>
    <w:rsid w:val="00B5742E"/>
    <w:rsid w:val="00B6269E"/>
    <w:rsid w:val="00B66E5D"/>
    <w:rsid w:val="00B6780F"/>
    <w:rsid w:val="00B95BE4"/>
    <w:rsid w:val="00B97697"/>
    <w:rsid w:val="00BA087D"/>
    <w:rsid w:val="00BA2E48"/>
    <w:rsid w:val="00BA7B30"/>
    <w:rsid w:val="00BB11BF"/>
    <w:rsid w:val="00BB3742"/>
    <w:rsid w:val="00BC660D"/>
    <w:rsid w:val="00BC75D9"/>
    <w:rsid w:val="00BD6120"/>
    <w:rsid w:val="00BE24E3"/>
    <w:rsid w:val="00BF2D54"/>
    <w:rsid w:val="00BF4805"/>
    <w:rsid w:val="00C00811"/>
    <w:rsid w:val="00C045C8"/>
    <w:rsid w:val="00C16370"/>
    <w:rsid w:val="00C31E53"/>
    <w:rsid w:val="00C34513"/>
    <w:rsid w:val="00C67B7F"/>
    <w:rsid w:val="00C859BD"/>
    <w:rsid w:val="00C873C4"/>
    <w:rsid w:val="00C878F0"/>
    <w:rsid w:val="00CB087A"/>
    <w:rsid w:val="00CB13B1"/>
    <w:rsid w:val="00CB5A5F"/>
    <w:rsid w:val="00CC77B1"/>
    <w:rsid w:val="00CD049F"/>
    <w:rsid w:val="00CD5230"/>
    <w:rsid w:val="00CE28DE"/>
    <w:rsid w:val="00CE3E07"/>
    <w:rsid w:val="00CE516F"/>
    <w:rsid w:val="00CE5DE2"/>
    <w:rsid w:val="00D07A45"/>
    <w:rsid w:val="00D36A84"/>
    <w:rsid w:val="00D46858"/>
    <w:rsid w:val="00D844E7"/>
    <w:rsid w:val="00D85346"/>
    <w:rsid w:val="00D85C09"/>
    <w:rsid w:val="00D949C7"/>
    <w:rsid w:val="00DA0D5F"/>
    <w:rsid w:val="00DA2DDE"/>
    <w:rsid w:val="00DA3746"/>
    <w:rsid w:val="00DA5418"/>
    <w:rsid w:val="00DB4F2D"/>
    <w:rsid w:val="00DB7B8B"/>
    <w:rsid w:val="00DB7C00"/>
    <w:rsid w:val="00DC0012"/>
    <w:rsid w:val="00DD5F13"/>
    <w:rsid w:val="00DE281D"/>
    <w:rsid w:val="00DE584A"/>
    <w:rsid w:val="00DF14D2"/>
    <w:rsid w:val="00E56E03"/>
    <w:rsid w:val="00E63435"/>
    <w:rsid w:val="00E677A5"/>
    <w:rsid w:val="00E80EBB"/>
    <w:rsid w:val="00E8299F"/>
    <w:rsid w:val="00EE2233"/>
    <w:rsid w:val="00EE3EFF"/>
    <w:rsid w:val="00EF1D47"/>
    <w:rsid w:val="00F12A71"/>
    <w:rsid w:val="00F35D5C"/>
    <w:rsid w:val="00F41160"/>
    <w:rsid w:val="00F422FF"/>
    <w:rsid w:val="00F45E76"/>
    <w:rsid w:val="00F67D24"/>
    <w:rsid w:val="00F725DB"/>
    <w:rsid w:val="00F72F1A"/>
    <w:rsid w:val="00F73DE5"/>
    <w:rsid w:val="00F87DA5"/>
    <w:rsid w:val="00F951BA"/>
    <w:rsid w:val="00FB2011"/>
    <w:rsid w:val="00FC586C"/>
    <w:rsid w:val="00FF2581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___DO NOT USE 1"/>
    <w:uiPriority w:val="9"/>
    <w:semiHidden/>
    <w:qFormat/>
    <w:rsid w:val="00081795"/>
  </w:style>
  <w:style w:type="paragraph" w:styleId="Heading1">
    <w:name w:val="heading 1"/>
    <w:basedOn w:val="Normal"/>
    <w:next w:val="Body"/>
    <w:link w:val="Heading1Char"/>
    <w:qFormat/>
    <w:rsid w:val="00E56E03"/>
    <w:pPr>
      <w:spacing w:after="0" w:line="360" w:lineRule="auto"/>
      <w:outlineLvl w:val="0"/>
    </w:pPr>
    <w:rPr>
      <w:rFonts w:ascii="Calibri Light" w:eastAsiaTheme="majorEastAsia" w:hAnsi="Calibri Light" w:cstheme="majorBidi"/>
      <w:b/>
      <w:bCs/>
      <w:sz w:val="28"/>
      <w:szCs w:val="28"/>
    </w:rPr>
  </w:style>
  <w:style w:type="paragraph" w:styleId="Heading2">
    <w:name w:val="heading 2"/>
    <w:basedOn w:val="Normal"/>
    <w:next w:val="Body"/>
    <w:link w:val="Heading2Char"/>
    <w:qFormat/>
    <w:rsid w:val="00E56E03"/>
    <w:pPr>
      <w:keepNext/>
      <w:keepLines/>
      <w:spacing w:before="320" w:after="80" w:line="240" w:lineRule="auto"/>
      <w:outlineLvl w:val="1"/>
    </w:pPr>
    <w:rPr>
      <w:rFonts w:ascii="Calibri Light" w:eastAsiaTheme="majorEastAsia" w:hAnsi="Calibri Light" w:cstheme="majorBidi"/>
      <w:b/>
      <w:bCs/>
      <w:color w:val="006580" w:themeColor="accent4"/>
      <w:sz w:val="28"/>
      <w:szCs w:val="26"/>
    </w:rPr>
  </w:style>
  <w:style w:type="paragraph" w:styleId="Heading3">
    <w:name w:val="heading 3"/>
    <w:basedOn w:val="Normal"/>
    <w:next w:val="Body"/>
    <w:link w:val="Heading3Char"/>
    <w:qFormat/>
    <w:rsid w:val="00E56E03"/>
    <w:pPr>
      <w:keepNext/>
      <w:keepLines/>
      <w:spacing w:before="240" w:after="60" w:line="240" w:lineRule="auto"/>
      <w:outlineLvl w:val="2"/>
    </w:pPr>
    <w:rPr>
      <w:rFonts w:ascii="Calibri Light" w:eastAsiaTheme="majorEastAsia" w:hAnsi="Calibri Light" w:cstheme="majorBidi"/>
      <w:b/>
      <w:color w:val="863399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A37D15"/>
    <w:rPr>
      <w:color w:val="000000" w:themeColor="followedHyperlink"/>
      <w:u w:val="single"/>
    </w:rPr>
  </w:style>
  <w:style w:type="paragraph" w:customStyle="1" w:styleId="BulletedList">
    <w:name w:val="Bulleted List"/>
    <w:basedOn w:val="Body"/>
    <w:uiPriority w:val="1"/>
    <w:rsid w:val="0075160B"/>
    <w:pPr>
      <w:numPr>
        <w:numId w:val="2"/>
      </w:numPr>
      <w:spacing w:after="60"/>
    </w:pPr>
  </w:style>
  <w:style w:type="paragraph" w:customStyle="1" w:styleId="Body">
    <w:name w:val="Body"/>
    <w:uiPriority w:val="1"/>
    <w:qFormat/>
    <w:rsid w:val="00E56E03"/>
    <w:pPr>
      <w:widowControl w:val="0"/>
      <w:spacing w:after="18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E56E03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56E03"/>
    <w:rPr>
      <w:rFonts w:ascii="Calibri Light" w:eastAsiaTheme="majorEastAsia" w:hAnsi="Calibri Light" w:cstheme="majorBidi"/>
      <w:b/>
      <w:bCs/>
      <w:color w:val="006580" w:themeColor="accent4"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rsid w:val="00CD049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umberedList">
    <w:name w:val="Numbered List"/>
    <w:basedOn w:val="Body"/>
    <w:uiPriority w:val="1"/>
    <w:rsid w:val="00041B7A"/>
    <w:pPr>
      <w:numPr>
        <w:numId w:val="1"/>
      </w:numPr>
      <w:spacing w:after="60"/>
      <w:ind w:left="965" w:hanging="24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EAA"/>
  </w:style>
  <w:style w:type="paragraph" w:customStyle="1" w:styleId="BulletedListLevel2">
    <w:name w:val="Bulleted List Level 2"/>
    <w:basedOn w:val="BulletedList"/>
    <w:uiPriority w:val="1"/>
    <w:rsid w:val="00966324"/>
    <w:pPr>
      <w:numPr>
        <w:numId w:val="3"/>
      </w:numPr>
      <w:ind w:left="216" w:hanging="2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2"/>
    <w:qFormat/>
    <w:rsid w:val="00081795"/>
    <w:rPr>
      <w:rFonts w:asciiTheme="minorHAnsi" w:hAnsiTheme="minorHAnsi"/>
      <w:b w:val="0"/>
      <w:color w:val="952E46"/>
      <w:sz w:val="24"/>
      <w:u w:val="single"/>
    </w:rPr>
  </w:style>
  <w:style w:type="paragraph" w:styleId="Footer">
    <w:name w:val="footer"/>
    <w:link w:val="FooterChar"/>
    <w:uiPriority w:val="99"/>
    <w:qFormat/>
    <w:rsid w:val="002E795C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 Light" w:hAnsi="Calibri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E795C"/>
    <w:rPr>
      <w:rFonts w:ascii="Calibri Light" w:hAnsi="Calibri Light"/>
      <w:sz w:val="20"/>
    </w:rPr>
  </w:style>
  <w:style w:type="character" w:customStyle="1" w:styleId="Heading3Char">
    <w:name w:val="Heading 3 Char"/>
    <w:basedOn w:val="DefaultParagraphFont"/>
    <w:link w:val="Heading3"/>
    <w:rsid w:val="00E56E03"/>
    <w:rPr>
      <w:rFonts w:ascii="Calibri Light" w:eastAsiaTheme="majorEastAsia" w:hAnsi="Calibri Light" w:cstheme="majorBidi"/>
      <w:b/>
      <w:color w:val="863399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6E03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E03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D37AF"/>
    <w:pPr>
      <w:numPr>
        <w:ilvl w:val="1"/>
      </w:numPr>
      <w:spacing w:after="160"/>
    </w:pPr>
    <w:rPr>
      <w:rFonts w:eastAsiaTheme="minorEastAsia"/>
      <w:color w:val="006580" w:themeColor="accent4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7AF"/>
    <w:rPr>
      <w:rFonts w:eastAsiaTheme="minorEastAsia"/>
      <w:color w:val="006580" w:themeColor="accent4"/>
      <w:spacing w:val="15"/>
      <w:sz w:val="24"/>
    </w:rPr>
  </w:style>
  <w:style w:type="character" w:styleId="IntenseEmphasis">
    <w:name w:val="Intense Emphasis"/>
    <w:uiPriority w:val="21"/>
    <w:rsid w:val="005575D8"/>
  </w:style>
  <w:style w:type="character" w:styleId="Strong">
    <w:name w:val="Strong"/>
    <w:basedOn w:val="DefaultParagraphFont"/>
    <w:uiPriority w:val="22"/>
    <w:rsid w:val="00BB37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6324"/>
    <w:pPr>
      <w:spacing w:before="200" w:after="160"/>
      <w:ind w:left="864" w:right="864"/>
      <w:jc w:val="center"/>
    </w:pPr>
    <w:rPr>
      <w:rFonts w:ascii="Georgia" w:hAnsi="Georgia"/>
      <w:i/>
      <w:iCs/>
      <w:color w:val="006580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66324"/>
    <w:rPr>
      <w:rFonts w:ascii="Georgia" w:hAnsi="Georgia"/>
      <w:i/>
      <w:iCs/>
      <w:color w:val="006580" w:themeColor="accent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324"/>
    <w:pPr>
      <w:pBdr>
        <w:top w:val="single" w:sz="4" w:space="10" w:color="006580" w:themeColor="accent4"/>
        <w:bottom w:val="single" w:sz="4" w:space="10" w:color="006580" w:themeColor="accent4"/>
      </w:pBdr>
      <w:spacing w:before="360" w:after="360" w:line="240" w:lineRule="auto"/>
      <w:ind w:left="864" w:right="864"/>
      <w:jc w:val="center"/>
    </w:pPr>
    <w:rPr>
      <w:rFonts w:ascii="Georgia" w:hAnsi="Georgia"/>
      <w:i/>
      <w:i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324"/>
    <w:rPr>
      <w:rFonts w:ascii="Georgia" w:hAnsi="Georgia"/>
      <w:i/>
      <w:iCs/>
      <w:sz w:val="24"/>
    </w:rPr>
  </w:style>
  <w:style w:type="character" w:styleId="SubtleReference">
    <w:name w:val="Subtle Reference"/>
    <w:basedOn w:val="DefaultParagraphFont"/>
    <w:uiPriority w:val="31"/>
    <w:rsid w:val="006D37AF"/>
    <w:rPr>
      <w:smallCaps/>
      <w:color w:val="006580" w:themeColor="accent4"/>
    </w:rPr>
  </w:style>
  <w:style w:type="character" w:styleId="IntenseReference">
    <w:name w:val="Intense Reference"/>
    <w:basedOn w:val="DefaultParagraphFont"/>
    <w:uiPriority w:val="32"/>
    <w:rsid w:val="006D37AF"/>
    <w:rPr>
      <w:b/>
      <w:bCs/>
      <w:smallCaps/>
      <w:color w:val="006580" w:themeColor="accent4"/>
      <w:spacing w:val="5"/>
    </w:rPr>
  </w:style>
  <w:style w:type="character" w:styleId="BookTitle">
    <w:name w:val="Book Title"/>
    <w:basedOn w:val="DefaultParagraphFont"/>
    <w:uiPriority w:val="33"/>
    <w:rsid w:val="00BB374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575D8"/>
    <w:pPr>
      <w:ind w:left="720"/>
      <w:contextualSpacing/>
    </w:pPr>
  </w:style>
  <w:style w:type="paragraph" w:customStyle="1" w:styleId="FooterText">
    <w:name w:val="Footer Text"/>
    <w:basedOn w:val="Footer"/>
    <w:link w:val="FooterTextChar"/>
    <w:uiPriority w:val="9"/>
    <w:rsid w:val="005949B6"/>
    <w:rPr>
      <w:rFonts w:asciiTheme="minorHAnsi" w:hAnsiTheme="minorHAnsi" w:cstheme="minorHAnsi"/>
      <w:sz w:val="24"/>
      <w:szCs w:val="24"/>
    </w:rPr>
  </w:style>
  <w:style w:type="character" w:customStyle="1" w:styleId="FooterTextChar">
    <w:name w:val="Footer Text Char"/>
    <w:basedOn w:val="FooterChar"/>
    <w:link w:val="FooterText"/>
    <w:uiPriority w:val="9"/>
    <w:rsid w:val="005949B6"/>
    <w:rPr>
      <w:rFonts w:ascii="Arial" w:hAnsi="Arial" w:cstheme="minorHAnsi"/>
      <w:sz w:val="24"/>
      <w:szCs w:val="24"/>
    </w:rPr>
  </w:style>
  <w:style w:type="table" w:styleId="TableGrid">
    <w:name w:val="Table Grid"/>
    <w:basedOn w:val="TableNormal"/>
    <w:uiPriority w:val="59"/>
    <w:rsid w:val="0064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01"/>
    <w:rPr>
      <w:b/>
      <w:bCs/>
      <w:sz w:val="20"/>
      <w:szCs w:val="20"/>
    </w:rPr>
  </w:style>
  <w:style w:type="paragraph" w:styleId="NoSpacing">
    <w:name w:val="No Spacing"/>
    <w:uiPriority w:val="1"/>
    <w:qFormat/>
    <w:rsid w:val="00A959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wa.gov/opinions/pdf/9800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leena.ives@dcyf.wa.go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CYF">
      <a:dk1>
        <a:srgbClr val="863399"/>
      </a:dk1>
      <a:lt1>
        <a:sysClr val="window" lastClr="FFFFFF"/>
      </a:lt1>
      <a:dk2>
        <a:srgbClr val="923A7F"/>
      </a:dk2>
      <a:lt2>
        <a:srgbClr val="E7E6E6"/>
      </a:lt2>
      <a:accent1>
        <a:srgbClr val="863399"/>
      </a:accent1>
      <a:accent2>
        <a:srgbClr val="E64B38"/>
      </a:accent2>
      <a:accent3>
        <a:srgbClr val="008522"/>
      </a:accent3>
      <a:accent4>
        <a:srgbClr val="006580"/>
      </a:accent4>
      <a:accent5>
        <a:srgbClr val="F5B335"/>
      </a:accent5>
      <a:accent6>
        <a:srgbClr val="6ABF4B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CA15-523C-4332-A5B6-C12526C7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2902</Characters>
  <Application>Microsoft Office Word</Application>
  <DocSecurity>4</DocSecurity>
  <Lines>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2020-11-19T01:12:00Z</dcterms:created>
  <dcterms:modified xsi:type="dcterms:W3CDTF">2020-11-19T01:12:00Z</dcterms:modified>
</cp:coreProperties>
</file>